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BE20" w14:textId="77777777" w:rsidR="005E71B1" w:rsidRDefault="005E71B1" w:rsidP="005E71B1">
      <w:pPr>
        <w:jc w:val="center"/>
      </w:pPr>
      <w:r>
        <w:rPr>
          <w:rFonts w:ascii="Trebuchet MS" w:hAnsi="Trebuchet MS" w:cs="Trebuchet MS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568E4CFC" wp14:editId="2C2C5197">
            <wp:extent cx="1758315" cy="15894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7B86E" w14:textId="77777777" w:rsidR="005E71B1" w:rsidRDefault="005E71B1" w:rsidP="005E71B1">
      <w:pPr>
        <w:jc w:val="center"/>
      </w:pPr>
    </w:p>
    <w:p w14:paraId="3B2CAD3F" w14:textId="67E38D68" w:rsidR="00A01C5D" w:rsidRDefault="005E71B1" w:rsidP="00BF636E">
      <w:pPr>
        <w:jc w:val="center"/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</w:pPr>
      <w:r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  <w:t>Holy Corner Com</w:t>
      </w:r>
      <w:r w:rsidR="004C364D"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  <w:t>munity Playgroup</w:t>
      </w:r>
    </w:p>
    <w:p w14:paraId="111AA776" w14:textId="77777777" w:rsidR="00A01C5D" w:rsidRDefault="00A01C5D" w:rsidP="00A01C5D">
      <w:pPr>
        <w:jc w:val="center"/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</w:pPr>
      <w:r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  <w:t xml:space="preserve">6A Christ Church, Morningside Road, </w:t>
      </w:r>
    </w:p>
    <w:p w14:paraId="6A6284E0" w14:textId="7A42F23E" w:rsidR="00A01C5D" w:rsidRDefault="00A01C5D" w:rsidP="00A01C5D">
      <w:pPr>
        <w:jc w:val="center"/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</w:pPr>
      <w:r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  <w:t>Edinburgh, Eh10 4DD. Tel: 07519 123 815</w:t>
      </w:r>
    </w:p>
    <w:p w14:paraId="1F3F9765" w14:textId="08C670EE" w:rsidR="005E71B1" w:rsidRDefault="005E71B1" w:rsidP="005E71B1">
      <w:pPr>
        <w:jc w:val="center"/>
        <w:rPr>
          <w:rFonts w:ascii="Georgia" w:hAnsi="Georgia" w:cs="Georgia"/>
          <w:b/>
          <w:bCs/>
          <w:color w:val="508C7C"/>
          <w:sz w:val="28"/>
          <w:szCs w:val="28"/>
          <w:lang w:val="en-US"/>
        </w:rPr>
      </w:pPr>
    </w:p>
    <w:p w14:paraId="3FE718E0" w14:textId="49F53F01" w:rsidR="00BF636E" w:rsidRPr="00BF636E" w:rsidRDefault="00BF636E" w:rsidP="005E71B1">
      <w:pPr>
        <w:jc w:val="center"/>
        <w:rPr>
          <w:rFonts w:ascii="Georgia" w:hAnsi="Georgia" w:cs="Georgia"/>
          <w:b/>
          <w:bCs/>
          <w:color w:val="508C7C"/>
          <w:sz w:val="32"/>
          <w:szCs w:val="32"/>
          <w:lang w:val="en-US"/>
        </w:rPr>
      </w:pPr>
      <w:r w:rsidRPr="00BF636E">
        <w:rPr>
          <w:rFonts w:ascii="Georgia" w:hAnsi="Georgia" w:cs="Georgia"/>
          <w:b/>
          <w:bCs/>
          <w:color w:val="508C7C"/>
          <w:sz w:val="32"/>
          <w:szCs w:val="32"/>
          <w:lang w:val="en-US"/>
        </w:rPr>
        <w:t>Policy</w:t>
      </w:r>
      <w:r w:rsidR="00FA4EB6">
        <w:rPr>
          <w:rFonts w:ascii="Georgia" w:hAnsi="Georgia" w:cs="Georgia"/>
          <w:b/>
          <w:bCs/>
          <w:color w:val="508C7C"/>
          <w:sz w:val="32"/>
          <w:szCs w:val="32"/>
          <w:lang w:val="en-US"/>
        </w:rPr>
        <w:t xml:space="preserve"> on Referrals to Disclosure Scotland</w:t>
      </w:r>
    </w:p>
    <w:p w14:paraId="29B73C3C" w14:textId="7E499A49" w:rsidR="00FA4EB6" w:rsidRPr="00FA4EB6" w:rsidRDefault="00FA4EB6" w:rsidP="00FA4EB6">
      <w:pPr>
        <w:rPr>
          <w:rFonts w:ascii="Georgia" w:hAnsi="Georgia" w:cs="Georgia"/>
          <w:b/>
          <w:bCs/>
          <w:color w:val="000000" w:themeColor="text1"/>
        </w:rPr>
      </w:pPr>
    </w:p>
    <w:p w14:paraId="758E965F" w14:textId="77777777" w:rsidR="00FA4EB6" w:rsidRPr="00FA4EB6" w:rsidRDefault="00FA4EB6" w:rsidP="00FA4EB6">
      <w:pPr>
        <w:rPr>
          <w:rFonts w:ascii="Georgia" w:hAnsi="Georgia" w:cs="Georgia"/>
          <w:b/>
          <w:bCs/>
          <w:color w:val="000000" w:themeColor="text1"/>
        </w:rPr>
      </w:pPr>
    </w:p>
    <w:p w14:paraId="7A2BC3C7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/>
          <w:bCs/>
          <w:color w:val="000000" w:themeColor="text1"/>
        </w:rPr>
        <w:t xml:space="preserve">Introduction </w:t>
      </w:r>
    </w:p>
    <w:p w14:paraId="7C02A080" w14:textId="4E75811F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 xml:space="preserve">1.  As a provider of “regulated work”, as defined by Schedules 2 and 3 of the Protection of Vulnerable Groups (Scotland) Act 2007, </w:t>
      </w:r>
      <w:r w:rsidR="00A87925" w:rsidRPr="00D51ECB">
        <w:rPr>
          <w:rFonts w:asciiTheme="majorHAnsi" w:hAnsiTheme="majorHAnsi" w:cstheme="majorHAnsi"/>
          <w:bCs/>
          <w:color w:val="000000" w:themeColor="text1"/>
        </w:rPr>
        <w:t>Holy Corner Community Playgroup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 are legally obliged in certain circumstances (known as referral grounds) to submit referrals on individuals to Disclosure Scotland. The legal requirement to refer is contained with section 9 of the Protection of Vulnerable Groups (Scotland) Act 2007.   </w:t>
      </w:r>
    </w:p>
    <w:p w14:paraId="0BD44E68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</w:p>
    <w:p w14:paraId="6AD0A1A7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 xml:space="preserve">2.  The obligation to refer to Disclosure Scotland exists irrespective of involvement of other agencies – </w:t>
      </w:r>
      <w:proofErr w:type="gramStart"/>
      <w:r w:rsidRPr="00D51ECB">
        <w:rPr>
          <w:rFonts w:asciiTheme="majorHAnsi" w:hAnsiTheme="majorHAnsi" w:cstheme="majorHAnsi"/>
          <w:bCs/>
          <w:color w:val="000000" w:themeColor="text1"/>
        </w:rPr>
        <w:t>e.g.</w:t>
      </w:r>
      <w:proofErr w:type="gramEnd"/>
      <w:r w:rsidRPr="00D51ECB">
        <w:rPr>
          <w:rFonts w:asciiTheme="majorHAnsi" w:hAnsiTheme="majorHAnsi" w:cstheme="majorHAnsi"/>
          <w:bCs/>
          <w:color w:val="000000" w:themeColor="text1"/>
        </w:rPr>
        <w:t xml:space="preserve"> police, regulatory bodies, local authorities etc.</w:t>
      </w:r>
    </w:p>
    <w:p w14:paraId="60D67482" w14:textId="77777777" w:rsidR="00FA4EB6" w:rsidRPr="00D51ECB" w:rsidRDefault="00FA4EB6" w:rsidP="00FA4EB6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1E408E59" w14:textId="77777777" w:rsidR="00FA4EB6" w:rsidRPr="00D51ECB" w:rsidRDefault="00FA4EB6" w:rsidP="00FA4EB6">
      <w:pPr>
        <w:rPr>
          <w:rFonts w:asciiTheme="majorHAnsi" w:hAnsiTheme="majorHAnsi" w:cstheme="majorHAnsi"/>
          <w:b/>
          <w:color w:val="000000" w:themeColor="text1"/>
        </w:rPr>
      </w:pPr>
      <w:r w:rsidRPr="00D51ECB">
        <w:rPr>
          <w:rFonts w:asciiTheme="majorHAnsi" w:hAnsiTheme="majorHAnsi" w:cstheme="majorHAnsi"/>
          <w:b/>
          <w:bCs/>
          <w:color w:val="000000" w:themeColor="text1"/>
        </w:rPr>
        <w:t>Types</w:t>
      </w:r>
      <w:r w:rsidRPr="00D51ECB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D51ECB">
        <w:rPr>
          <w:rFonts w:asciiTheme="majorHAnsi" w:hAnsiTheme="majorHAnsi" w:cstheme="majorHAnsi"/>
          <w:b/>
          <w:bCs/>
          <w:color w:val="000000" w:themeColor="text1"/>
        </w:rPr>
        <w:t>of conduct</w:t>
      </w:r>
    </w:p>
    <w:p w14:paraId="2DA1AE1F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3</w:t>
      </w:r>
      <w:r w:rsidRPr="00D51ECB">
        <w:rPr>
          <w:rFonts w:asciiTheme="majorHAnsi" w:hAnsiTheme="majorHAnsi" w:cstheme="majorHAnsi"/>
          <w:color w:val="000000" w:themeColor="text1"/>
        </w:rPr>
        <w:t xml:space="preserve">.  </w:t>
      </w:r>
      <w:r w:rsidRPr="00D51ECB">
        <w:rPr>
          <w:rFonts w:asciiTheme="majorHAnsi" w:hAnsiTheme="majorHAnsi" w:cstheme="majorHAnsi"/>
          <w:bCs/>
          <w:color w:val="000000" w:themeColor="text1"/>
        </w:rPr>
        <w:t>The obligation to refer arises when an individual in a “regulated work” role (</w:t>
      </w:r>
      <w:proofErr w:type="gramStart"/>
      <w:r w:rsidRPr="00D51ECB">
        <w:rPr>
          <w:rFonts w:asciiTheme="majorHAnsi" w:hAnsiTheme="majorHAnsi" w:cstheme="majorHAnsi"/>
          <w:bCs/>
          <w:color w:val="000000" w:themeColor="text1"/>
        </w:rPr>
        <w:t>i.e.</w:t>
      </w:r>
      <w:proofErr w:type="gramEnd"/>
      <w:r w:rsidRPr="00D51ECB">
        <w:rPr>
          <w:rFonts w:asciiTheme="majorHAnsi" w:hAnsiTheme="majorHAnsi" w:cstheme="majorHAnsi"/>
          <w:bCs/>
          <w:color w:val="000000" w:themeColor="text1"/>
        </w:rPr>
        <w:t xml:space="preserve"> the position is eligible for a PVG check) is responsible for one of the following:</w:t>
      </w:r>
    </w:p>
    <w:p w14:paraId="2EA1A12C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</w:p>
    <w:p w14:paraId="09B0DA85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harming a child or protected adult</w:t>
      </w:r>
    </w:p>
    <w:p w14:paraId="60BBE95F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placing a child or protected adult at risk of harm</w:t>
      </w:r>
    </w:p>
    <w:p w14:paraId="23F4BF2D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inappropriate behaviour involving pornography</w:t>
      </w:r>
    </w:p>
    <w:p w14:paraId="7F56D6C5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inappropriate behaviour of a sexual nature involving a child or protected adult</w:t>
      </w:r>
    </w:p>
    <w:p w14:paraId="417A30F6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giving inappropriate medical treatment to a child or protected adult</w:t>
      </w:r>
    </w:p>
    <w:p w14:paraId="07B52EB4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</w:p>
    <w:p w14:paraId="4CCD60FE" w14:textId="77777777" w:rsidR="00FA4EB6" w:rsidRPr="00D51ECB" w:rsidRDefault="00FA4EB6" w:rsidP="00FA4EB6">
      <w:pPr>
        <w:rPr>
          <w:rFonts w:asciiTheme="majorHAnsi" w:hAnsiTheme="majorHAnsi" w:cstheme="majorHAnsi"/>
          <w:b/>
          <w:color w:val="000000" w:themeColor="text1"/>
        </w:rPr>
      </w:pPr>
      <w:r w:rsidRPr="00D51ECB">
        <w:rPr>
          <w:rFonts w:asciiTheme="majorHAnsi" w:hAnsiTheme="majorHAnsi" w:cstheme="majorHAnsi"/>
          <w:b/>
          <w:bCs/>
          <w:color w:val="000000" w:themeColor="text1"/>
        </w:rPr>
        <w:t>Harm</w:t>
      </w:r>
    </w:p>
    <w:p w14:paraId="7E0ED38D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4</w:t>
      </w:r>
      <w:r w:rsidRPr="00D51ECB">
        <w:rPr>
          <w:rFonts w:asciiTheme="majorHAnsi" w:hAnsiTheme="majorHAnsi" w:cstheme="majorHAnsi"/>
          <w:color w:val="000000" w:themeColor="text1"/>
        </w:rPr>
        <w:t>.</w:t>
      </w:r>
      <w:proofErr w:type="gramStart"/>
      <w:r w:rsidRPr="00D51ECB">
        <w:rPr>
          <w:rFonts w:asciiTheme="majorHAnsi" w:hAnsiTheme="majorHAnsi" w:cstheme="majorHAnsi"/>
          <w:color w:val="000000" w:themeColor="text1"/>
        </w:rPr>
        <w:t xml:space="preserve">   </w:t>
      </w:r>
      <w:r w:rsidRPr="00D51ECB">
        <w:rPr>
          <w:rFonts w:asciiTheme="majorHAnsi" w:hAnsiTheme="majorHAnsi" w:cstheme="majorHAnsi"/>
          <w:bCs/>
          <w:color w:val="000000" w:themeColor="text1"/>
        </w:rPr>
        <w:t>“</w:t>
      </w:r>
      <w:proofErr w:type="gramEnd"/>
      <w:r w:rsidRPr="00D51ECB">
        <w:rPr>
          <w:rFonts w:asciiTheme="majorHAnsi" w:hAnsiTheme="majorHAnsi" w:cstheme="majorHAnsi"/>
          <w:bCs/>
          <w:color w:val="000000" w:themeColor="text1"/>
        </w:rPr>
        <w:t>Harm” can include:</w:t>
      </w:r>
      <w:r w:rsidRPr="00D51ECB">
        <w:rPr>
          <w:rFonts w:asciiTheme="majorHAnsi" w:hAnsiTheme="majorHAnsi" w:cstheme="majorHAnsi"/>
          <w:color w:val="000000" w:themeColor="text1"/>
        </w:rPr>
        <w:t xml:space="preserve">    </w:t>
      </w:r>
    </w:p>
    <w:p w14:paraId="19D6BBEA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physical harm (including assault or inappropriate restraints</w:t>
      </w:r>
      <w:proofErr w:type="gramStart"/>
      <w:r w:rsidRPr="00D51ECB">
        <w:rPr>
          <w:rFonts w:asciiTheme="majorHAnsi" w:hAnsiTheme="majorHAnsi" w:cstheme="majorHAnsi"/>
          <w:bCs/>
          <w:color w:val="000000" w:themeColor="text1"/>
        </w:rPr>
        <w:t>);</w:t>
      </w:r>
      <w:proofErr w:type="gramEnd"/>
      <w:r w:rsidRPr="00D51ECB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5DF3C4DE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psychological/emotional harm (for example, placing a child/protected adults in a state of fear, alarm or distress</w:t>
      </w:r>
      <w:proofErr w:type="gramStart"/>
      <w:r w:rsidRPr="00D51ECB">
        <w:rPr>
          <w:rFonts w:asciiTheme="majorHAnsi" w:hAnsiTheme="majorHAnsi" w:cstheme="majorHAnsi"/>
          <w:bCs/>
          <w:color w:val="000000" w:themeColor="text1"/>
        </w:rPr>
        <w:t>) ;</w:t>
      </w:r>
      <w:proofErr w:type="gramEnd"/>
      <w:r w:rsidRPr="00D51ECB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BD44FB6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 xml:space="preserve"> “</w:t>
      </w:r>
      <w:proofErr w:type="gramStart"/>
      <w:r w:rsidRPr="00D51ECB">
        <w:rPr>
          <w:rFonts w:asciiTheme="majorHAnsi" w:hAnsiTheme="majorHAnsi" w:cstheme="majorHAnsi"/>
          <w:bCs/>
          <w:color w:val="000000" w:themeColor="text1"/>
        </w:rPr>
        <w:t>damage</w:t>
      </w:r>
      <w:proofErr w:type="gramEnd"/>
      <w:r w:rsidRPr="00D51ECB">
        <w:rPr>
          <w:rFonts w:asciiTheme="majorHAnsi" w:hAnsiTheme="majorHAnsi" w:cstheme="majorHAnsi"/>
          <w:bCs/>
          <w:color w:val="000000" w:themeColor="text1"/>
        </w:rPr>
        <w:t xml:space="preserve"> to property, rights or interests”, such as theft, fraud, embezzlement or extortion</w:t>
      </w:r>
    </w:p>
    <w:p w14:paraId="4B02FBDE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attempts to harm</w:t>
      </w:r>
    </w:p>
    <w:p w14:paraId="4C854C23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lastRenderedPageBreak/>
        <w:t>trying to make others cause harm</w:t>
      </w:r>
    </w:p>
    <w:p w14:paraId="30C6C869" w14:textId="77777777" w:rsidR="00FA4EB6" w:rsidRPr="00D51ECB" w:rsidRDefault="00FA4EB6" w:rsidP="00FA4EB6">
      <w:pPr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encouraging someone to self-harm</w:t>
      </w:r>
    </w:p>
    <w:p w14:paraId="55033AFC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</w:p>
    <w:p w14:paraId="77FAC363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5.  Placing at “risk of harm” is a wide-ranging category but may include behaviour or incompetence that may cause someone to be harmed (even if unintentional and/or where harm does not actually occur)</w:t>
      </w:r>
    </w:p>
    <w:p w14:paraId="6A26B81B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</w:p>
    <w:p w14:paraId="6A71C97C" w14:textId="77777777" w:rsidR="00FA4EB6" w:rsidRPr="00D51ECB" w:rsidRDefault="00FA4EB6" w:rsidP="00FA4EB6">
      <w:pPr>
        <w:rPr>
          <w:rFonts w:asciiTheme="majorHAnsi" w:hAnsiTheme="majorHAnsi" w:cstheme="majorHAnsi"/>
          <w:b/>
          <w:color w:val="000000" w:themeColor="text1"/>
        </w:rPr>
      </w:pPr>
      <w:r w:rsidRPr="00D51ECB">
        <w:rPr>
          <w:rFonts w:asciiTheme="majorHAnsi" w:hAnsiTheme="majorHAnsi" w:cstheme="majorHAnsi"/>
          <w:b/>
          <w:color w:val="000000" w:themeColor="text1"/>
        </w:rPr>
        <w:t xml:space="preserve">6.  The above list of types of conduct is not exhaustive.    </w:t>
      </w:r>
    </w:p>
    <w:p w14:paraId="2A4B868B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  <w:u w:val="single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7</w:t>
      </w:r>
      <w:r w:rsidRPr="00D51ECB">
        <w:rPr>
          <w:rFonts w:asciiTheme="majorHAnsi" w:hAnsiTheme="majorHAnsi" w:cstheme="majorHAnsi"/>
          <w:color w:val="000000" w:themeColor="text1"/>
        </w:rPr>
        <w:t xml:space="preserve">.   </w:t>
      </w:r>
      <w:r w:rsidRPr="00D51ECB">
        <w:rPr>
          <w:rFonts w:asciiTheme="majorHAnsi" w:hAnsiTheme="majorHAnsi" w:cstheme="majorHAnsi"/>
          <w:bCs/>
          <w:color w:val="000000" w:themeColor="text1"/>
        </w:rPr>
        <w:t>The conduct does not need to have happened in the workplace but must be something the organisation becomes aware of that subsequently leads to the below action or equivalent.</w:t>
      </w:r>
      <w:r w:rsidRPr="00D51ECB">
        <w:rPr>
          <w:rFonts w:asciiTheme="majorHAnsi" w:hAnsiTheme="majorHAnsi" w:cstheme="majorHAnsi"/>
          <w:color w:val="000000" w:themeColor="text1"/>
          <w:u w:val="single"/>
        </w:rPr>
        <w:t xml:space="preserve">  </w:t>
      </w:r>
    </w:p>
    <w:p w14:paraId="2E755CF0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  <w:u w:val="single"/>
        </w:rPr>
      </w:pPr>
      <w:r w:rsidRPr="00D51ECB">
        <w:rPr>
          <w:rFonts w:asciiTheme="majorHAnsi" w:hAnsiTheme="majorHAnsi" w:cstheme="majorHAnsi"/>
          <w:color w:val="000000" w:themeColor="text1"/>
          <w:u w:val="single"/>
        </w:rPr>
        <w:t xml:space="preserve">  </w:t>
      </w:r>
    </w:p>
    <w:p w14:paraId="677B1FE1" w14:textId="77777777" w:rsidR="00FA4EB6" w:rsidRPr="00D51ECB" w:rsidRDefault="00FA4EB6" w:rsidP="00FA4EB6">
      <w:pPr>
        <w:rPr>
          <w:rFonts w:asciiTheme="majorHAnsi" w:hAnsiTheme="majorHAnsi" w:cstheme="majorHAnsi"/>
          <w:b/>
          <w:bCs/>
          <w:color w:val="000000" w:themeColor="text1"/>
        </w:rPr>
      </w:pPr>
      <w:r w:rsidRPr="00D51ECB">
        <w:rPr>
          <w:rFonts w:asciiTheme="majorHAnsi" w:hAnsiTheme="majorHAnsi" w:cstheme="majorHAnsi"/>
          <w:b/>
          <w:bCs/>
          <w:color w:val="000000" w:themeColor="text1"/>
        </w:rPr>
        <w:t>When to refer to Disclosure Scotland</w:t>
      </w:r>
    </w:p>
    <w:p w14:paraId="7982D985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8</w:t>
      </w:r>
      <w:r w:rsidRPr="00D51ECB">
        <w:rPr>
          <w:rFonts w:asciiTheme="majorHAnsi" w:hAnsiTheme="majorHAnsi" w:cstheme="majorHAnsi"/>
          <w:color w:val="000000" w:themeColor="text1"/>
        </w:rPr>
        <w:t xml:space="preserve">.  </w:t>
      </w:r>
      <w:r w:rsidRPr="00D51ECB">
        <w:rPr>
          <w:rFonts w:asciiTheme="majorHAnsi" w:hAnsiTheme="majorHAnsi" w:cstheme="majorHAnsi"/>
          <w:bCs/>
          <w:color w:val="000000" w:themeColor="text1"/>
        </w:rPr>
        <w:t>A referral to Disclosure Scotland outlining the conduct need only be done if the behaviour meant that the staff member or volunteer involved</w:t>
      </w:r>
      <w:r w:rsidRPr="00D51ECB">
        <w:rPr>
          <w:rFonts w:asciiTheme="majorHAnsi" w:hAnsiTheme="majorHAnsi" w:cstheme="majorHAnsi"/>
          <w:color w:val="000000" w:themeColor="text1"/>
        </w:rPr>
        <w:t>:</w:t>
      </w:r>
    </w:p>
    <w:p w14:paraId="2BDFBAE7" w14:textId="77777777" w:rsidR="00FA4EB6" w:rsidRPr="00D51ECB" w:rsidRDefault="00FA4EB6" w:rsidP="00FA4EB6">
      <w:pPr>
        <w:numPr>
          <w:ilvl w:val="0"/>
          <w:numId w:val="3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Was dismissed as a result</w:t>
      </w:r>
    </w:p>
    <w:p w14:paraId="411205DC" w14:textId="77777777" w:rsidR="00FA4EB6" w:rsidRPr="00D51ECB" w:rsidRDefault="00FA4EB6" w:rsidP="00FA4EB6">
      <w:pPr>
        <w:numPr>
          <w:ilvl w:val="0"/>
          <w:numId w:val="3"/>
        </w:num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 xml:space="preserve">Would have been dismissed but left before they could be – for example, resigning or making no further contact with the organisation immediately after the incident(s) or after starting but not concluding a disciplinary process or when an individual’s probation or fixed term contract is not extended because of a type of conduct outlined above.    </w:t>
      </w:r>
    </w:p>
    <w:p w14:paraId="6B77AFDF" w14:textId="77777777" w:rsidR="00FA4EB6" w:rsidRPr="00D51ECB" w:rsidRDefault="00FA4EB6" w:rsidP="00FA4EB6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 xml:space="preserve">Was transferred permanently (not temporarily while under investigation) from regulated work with children/protected adults to a role within the organisation that does not involve regulated work with those groups.  </w:t>
      </w:r>
      <w:r w:rsidRPr="00D51ECB">
        <w:rPr>
          <w:rFonts w:asciiTheme="majorHAnsi" w:hAnsiTheme="majorHAnsi" w:cstheme="majorHAnsi"/>
          <w:color w:val="000000" w:themeColor="text1"/>
        </w:rPr>
        <w:t xml:space="preserve">   </w:t>
      </w:r>
    </w:p>
    <w:p w14:paraId="69A2EDE1" w14:textId="34CF976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9</w:t>
      </w:r>
      <w:r w:rsidRPr="00D51ECB">
        <w:rPr>
          <w:rFonts w:asciiTheme="majorHAnsi" w:hAnsiTheme="majorHAnsi" w:cstheme="majorHAnsi"/>
          <w:color w:val="000000" w:themeColor="text1"/>
        </w:rPr>
        <w:t xml:space="preserve">.  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The referral must be made within three months of the date of decision of </w:t>
      </w:r>
      <w:r w:rsidR="00A87925" w:rsidRPr="00D51ECB">
        <w:rPr>
          <w:rFonts w:asciiTheme="majorHAnsi" w:hAnsiTheme="majorHAnsi" w:cstheme="majorHAnsi"/>
          <w:bCs/>
          <w:color w:val="000000" w:themeColor="text1"/>
        </w:rPr>
        <w:t xml:space="preserve">Holy Corner Community Playgroup </w:t>
      </w:r>
      <w:r w:rsidRPr="00D51ECB">
        <w:rPr>
          <w:rFonts w:asciiTheme="majorHAnsi" w:hAnsiTheme="majorHAnsi" w:cstheme="majorHAnsi"/>
          <w:bCs/>
          <w:color w:val="000000" w:themeColor="text1"/>
        </w:rPr>
        <w:t>to either dismiss/permanently remove the individual from “regulated work” or the date that the individual would have been permanently removed had they not otherwise or already left</w:t>
      </w:r>
      <w:r w:rsidRPr="00D51ECB">
        <w:rPr>
          <w:rFonts w:asciiTheme="majorHAnsi" w:hAnsiTheme="majorHAnsi" w:cstheme="majorHAnsi"/>
          <w:color w:val="000000" w:themeColor="text1"/>
        </w:rPr>
        <w:t xml:space="preserve">.    </w:t>
      </w:r>
    </w:p>
    <w:p w14:paraId="2A8CB1EC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10</w:t>
      </w:r>
      <w:r w:rsidRPr="00D51ECB">
        <w:rPr>
          <w:rFonts w:asciiTheme="majorHAnsi" w:hAnsiTheme="majorHAnsi" w:cstheme="majorHAnsi"/>
          <w:color w:val="000000" w:themeColor="text1"/>
        </w:rPr>
        <w:t xml:space="preserve">.  </w:t>
      </w:r>
      <w:r w:rsidRPr="00D51ECB">
        <w:rPr>
          <w:rFonts w:asciiTheme="majorHAnsi" w:hAnsiTheme="majorHAnsi" w:cstheme="majorHAnsi"/>
          <w:bCs/>
          <w:color w:val="000000" w:themeColor="text1"/>
        </w:rPr>
        <w:t>The three-month period to submit referrals to Disclosure Scotland is a statutory requirement, irrespective of any associated dismissal appeals or appeal periods etc.     Even where an individual appeals against a decision to permanently remove from regulated work, the three-month period begins on the date of the decision to either dismiss or permanently remove from regulated work</w:t>
      </w:r>
      <w:r w:rsidRPr="00D51ECB">
        <w:rPr>
          <w:rFonts w:asciiTheme="majorHAnsi" w:hAnsiTheme="majorHAnsi" w:cstheme="majorHAnsi"/>
          <w:color w:val="000000" w:themeColor="text1"/>
        </w:rPr>
        <w:t xml:space="preserve">.   </w:t>
      </w:r>
    </w:p>
    <w:p w14:paraId="729274C3" w14:textId="094FCDCA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 xml:space="preserve">11.     The type of conduct committed by the individual must be in relation to the group that the individual is in regulated work with, whether that regulated work is for </w:t>
      </w:r>
      <w:r w:rsidR="00A87925" w:rsidRPr="00D51ECB">
        <w:rPr>
          <w:rFonts w:asciiTheme="majorHAnsi" w:hAnsiTheme="majorHAnsi" w:cstheme="majorHAnsi"/>
          <w:bCs/>
          <w:color w:val="000000" w:themeColor="text1"/>
        </w:rPr>
        <w:t xml:space="preserve">Holy Corner Community Playgroup 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or another organisation – for example, if an individual is permanently removed from post due to assaulting a child, but they are </w:t>
      </w:r>
      <w:r w:rsidRPr="00D51ECB">
        <w:rPr>
          <w:rFonts w:asciiTheme="majorHAnsi" w:hAnsiTheme="majorHAnsi" w:cstheme="majorHAnsi"/>
          <w:bCs/>
          <w:color w:val="000000" w:themeColor="text1"/>
          <w:u w:val="single"/>
        </w:rPr>
        <w:t>only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 in regulated work with protected adults, it is not possible under current legislation for the organisation to refer that individual to Disclosure Scotland.    </w:t>
      </w:r>
    </w:p>
    <w:p w14:paraId="7796485C" w14:textId="77777777" w:rsidR="00FA4EB6" w:rsidRPr="00D51ECB" w:rsidRDefault="00FA4EB6" w:rsidP="00FA4EB6">
      <w:pPr>
        <w:rPr>
          <w:rFonts w:asciiTheme="majorHAnsi" w:hAnsiTheme="majorHAnsi" w:cstheme="majorHAnsi"/>
          <w:bCs/>
          <w:color w:val="000000" w:themeColor="text1"/>
        </w:rPr>
      </w:pPr>
    </w:p>
    <w:p w14:paraId="5B62E46F" w14:textId="77777777" w:rsidR="00FA4EB6" w:rsidRPr="00D51ECB" w:rsidRDefault="00FA4EB6" w:rsidP="00FA4EB6">
      <w:pPr>
        <w:rPr>
          <w:rFonts w:asciiTheme="majorHAnsi" w:hAnsiTheme="majorHAnsi" w:cstheme="majorHAnsi"/>
          <w:b/>
          <w:bCs/>
          <w:color w:val="000000" w:themeColor="text1"/>
        </w:rPr>
      </w:pPr>
      <w:r w:rsidRPr="00D51ECB">
        <w:rPr>
          <w:rFonts w:asciiTheme="majorHAnsi" w:hAnsiTheme="majorHAnsi" w:cstheme="majorHAnsi"/>
          <w:b/>
          <w:bCs/>
          <w:color w:val="000000" w:themeColor="text1"/>
        </w:rPr>
        <w:t>How to refer an individual to Disclosure Scotland</w:t>
      </w:r>
    </w:p>
    <w:p w14:paraId="7BE26FA1" w14:textId="3A7C4F8D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12</w:t>
      </w:r>
      <w:r w:rsidRPr="00D51ECB">
        <w:rPr>
          <w:rFonts w:asciiTheme="majorHAnsi" w:hAnsiTheme="majorHAnsi" w:cstheme="majorHAnsi"/>
          <w:color w:val="000000" w:themeColor="text1"/>
        </w:rPr>
        <w:t xml:space="preserve">.   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An employer referral form is available on the Disclosure Scotland website, which asks for the information on the individual’s identity, type of “regulated work” involved in for </w:t>
      </w:r>
      <w:r w:rsidR="00A87925" w:rsidRPr="00D51ECB">
        <w:rPr>
          <w:rFonts w:asciiTheme="majorHAnsi" w:hAnsiTheme="majorHAnsi" w:cstheme="majorHAnsi"/>
          <w:bCs/>
          <w:color w:val="000000" w:themeColor="text1"/>
        </w:rPr>
        <w:t>Holy Corner Community Playgroup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, PVG Scheme number, information on the harmful behaviour and details (with documentation) relevant to the investigation carried out by </w:t>
      </w:r>
      <w:r w:rsidR="00A87925" w:rsidRPr="00D51ECB">
        <w:rPr>
          <w:rFonts w:asciiTheme="majorHAnsi" w:hAnsiTheme="majorHAnsi" w:cstheme="majorHAnsi"/>
          <w:bCs/>
          <w:color w:val="000000" w:themeColor="text1"/>
        </w:rPr>
        <w:t xml:space="preserve">Holy Corner Community Playgroup </w:t>
      </w:r>
      <w:r w:rsidRPr="00D51ECB">
        <w:rPr>
          <w:rFonts w:asciiTheme="majorHAnsi" w:hAnsiTheme="majorHAnsi" w:cstheme="majorHAnsi"/>
          <w:bCs/>
          <w:color w:val="000000" w:themeColor="text1"/>
        </w:rPr>
        <w:t>– and the outcome.</w:t>
      </w:r>
    </w:p>
    <w:p w14:paraId="38E1769D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lastRenderedPageBreak/>
        <w:t>13</w:t>
      </w:r>
      <w:r w:rsidRPr="00D51ECB">
        <w:rPr>
          <w:rFonts w:asciiTheme="majorHAnsi" w:hAnsiTheme="majorHAnsi" w:cstheme="majorHAnsi"/>
          <w:color w:val="000000" w:themeColor="text1"/>
        </w:rPr>
        <w:t xml:space="preserve">.   </w:t>
      </w:r>
      <w:r w:rsidRPr="00D51ECB">
        <w:rPr>
          <w:rFonts w:asciiTheme="majorHAnsi" w:hAnsiTheme="majorHAnsi" w:cstheme="majorHAnsi"/>
          <w:bCs/>
          <w:color w:val="000000" w:themeColor="text1"/>
        </w:rPr>
        <w:t>The referral should not identify any children or protected adults by name (for example, victims and witnesses) and should use a coded reference (</w:t>
      </w:r>
      <w:proofErr w:type="gramStart"/>
      <w:r w:rsidRPr="00D51ECB">
        <w:rPr>
          <w:rFonts w:asciiTheme="majorHAnsi" w:hAnsiTheme="majorHAnsi" w:cstheme="majorHAnsi"/>
          <w:bCs/>
          <w:color w:val="000000" w:themeColor="text1"/>
        </w:rPr>
        <w:t>e.g.</w:t>
      </w:r>
      <w:proofErr w:type="gramEnd"/>
      <w:r w:rsidRPr="00D51ECB">
        <w:rPr>
          <w:rFonts w:asciiTheme="majorHAnsi" w:hAnsiTheme="majorHAnsi" w:cstheme="majorHAnsi"/>
          <w:bCs/>
          <w:color w:val="000000" w:themeColor="text1"/>
        </w:rPr>
        <w:t xml:space="preserve"> child A, age 12 years)</w:t>
      </w:r>
      <w:r w:rsidRPr="00D51ECB">
        <w:rPr>
          <w:rFonts w:asciiTheme="majorHAnsi" w:hAnsiTheme="majorHAnsi" w:cstheme="majorHAnsi"/>
          <w:color w:val="000000" w:themeColor="text1"/>
        </w:rPr>
        <w:t xml:space="preserve">.   </w:t>
      </w:r>
    </w:p>
    <w:p w14:paraId="3C903A14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14</w:t>
      </w:r>
      <w:r w:rsidRPr="00D51ECB">
        <w:rPr>
          <w:rFonts w:asciiTheme="majorHAnsi" w:hAnsiTheme="majorHAnsi" w:cstheme="majorHAnsi"/>
          <w:color w:val="000000" w:themeColor="text1"/>
        </w:rPr>
        <w:t xml:space="preserve">.  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The completed referral form and documentation can be submitted via e-mail to </w:t>
      </w:r>
      <w:hyperlink r:id="rId8" w:history="1">
        <w:r w:rsidRPr="00D51ECB">
          <w:rPr>
            <w:rStyle w:val="Hyperlink"/>
            <w:rFonts w:asciiTheme="majorHAnsi" w:hAnsiTheme="majorHAnsi" w:cstheme="majorHAnsi"/>
            <w:bCs/>
          </w:rPr>
          <w:t>pucorrespondence@disclosurescotland.gsi.gov.uk</w:t>
        </w:r>
      </w:hyperlink>
      <w:r w:rsidRPr="00D51ECB">
        <w:rPr>
          <w:rFonts w:asciiTheme="majorHAnsi" w:hAnsiTheme="majorHAnsi" w:cstheme="majorHAnsi"/>
          <w:bCs/>
          <w:color w:val="000000" w:themeColor="text1"/>
        </w:rPr>
        <w:t xml:space="preserve"> or can be printed out and posted to the address provided in the form</w:t>
      </w:r>
      <w:r w:rsidRPr="00D51ECB">
        <w:rPr>
          <w:rFonts w:asciiTheme="majorHAnsi" w:hAnsiTheme="majorHAnsi" w:cstheme="majorHAnsi"/>
          <w:color w:val="000000" w:themeColor="text1"/>
        </w:rPr>
        <w:t>.</w:t>
      </w:r>
    </w:p>
    <w:p w14:paraId="0410F154" w14:textId="77777777" w:rsidR="00FA4EB6" w:rsidRPr="00D51ECB" w:rsidRDefault="00FA4EB6" w:rsidP="00FA4EB6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1906D1C0" w14:textId="77777777" w:rsidR="00FA4EB6" w:rsidRPr="00D51ECB" w:rsidRDefault="00FA4EB6" w:rsidP="00FA4EB6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35A96900" w14:textId="77777777" w:rsidR="00FA4EB6" w:rsidRPr="00D51ECB" w:rsidRDefault="00FA4EB6" w:rsidP="00FA4EB6">
      <w:pPr>
        <w:rPr>
          <w:rFonts w:asciiTheme="majorHAnsi" w:hAnsiTheme="majorHAnsi" w:cstheme="majorHAnsi"/>
          <w:b/>
          <w:bCs/>
          <w:color w:val="000000" w:themeColor="text1"/>
        </w:rPr>
      </w:pPr>
      <w:r w:rsidRPr="00D51ECB">
        <w:rPr>
          <w:rFonts w:asciiTheme="majorHAnsi" w:hAnsiTheme="majorHAnsi" w:cstheme="majorHAnsi"/>
          <w:b/>
          <w:bCs/>
          <w:color w:val="000000" w:themeColor="text1"/>
        </w:rPr>
        <w:t>Contacts</w:t>
      </w:r>
    </w:p>
    <w:p w14:paraId="3F2DEBF5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15</w:t>
      </w:r>
      <w:r w:rsidRPr="00D51ECB">
        <w:rPr>
          <w:rFonts w:asciiTheme="majorHAnsi" w:hAnsiTheme="majorHAnsi" w:cstheme="majorHAnsi"/>
          <w:color w:val="000000" w:themeColor="text1"/>
        </w:rPr>
        <w:t xml:space="preserve">.  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More information on this can be found on the Disclosure Scotland website (https://www.mygov.scot/disclosure-types/) or by contacting Disclosure Scotland on 0300 0200 040 or via </w:t>
      </w:r>
      <w:hyperlink r:id="rId9" w:history="1">
        <w:r w:rsidRPr="00D51ECB">
          <w:rPr>
            <w:rStyle w:val="Hyperlink"/>
            <w:rFonts w:asciiTheme="majorHAnsi" w:hAnsiTheme="majorHAnsi" w:cstheme="majorHAnsi"/>
            <w:bCs/>
          </w:rPr>
          <w:t>info@disclosurescotland.gsi.gov.uk</w:t>
        </w:r>
      </w:hyperlink>
      <w:r w:rsidRPr="00D51ECB">
        <w:rPr>
          <w:rFonts w:asciiTheme="majorHAnsi" w:hAnsiTheme="majorHAnsi" w:cstheme="majorHAnsi"/>
          <w:color w:val="000000" w:themeColor="text1"/>
        </w:rPr>
        <w:t xml:space="preserve">.   </w:t>
      </w:r>
    </w:p>
    <w:p w14:paraId="5FC1F05E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16</w:t>
      </w:r>
      <w:r w:rsidRPr="00D51ECB">
        <w:rPr>
          <w:rFonts w:asciiTheme="majorHAnsi" w:hAnsiTheme="majorHAnsi" w:cstheme="majorHAnsi"/>
          <w:color w:val="000000" w:themeColor="text1"/>
        </w:rPr>
        <w:t xml:space="preserve">.  </w:t>
      </w:r>
      <w:r w:rsidRPr="00D51ECB">
        <w:rPr>
          <w:rFonts w:asciiTheme="majorHAnsi" w:hAnsiTheme="majorHAnsi" w:cstheme="majorHAnsi"/>
          <w:bCs/>
          <w:color w:val="000000" w:themeColor="text1"/>
        </w:rPr>
        <w:t xml:space="preserve">The form recommended for completion to submit a referral can be found at </w:t>
      </w:r>
      <w:hyperlink r:id="rId10" w:history="1">
        <w:r w:rsidRPr="00D51ECB">
          <w:rPr>
            <w:rStyle w:val="Hyperlink"/>
            <w:rFonts w:asciiTheme="majorHAnsi" w:hAnsiTheme="majorHAnsi" w:cstheme="majorHAnsi"/>
            <w:bCs/>
          </w:rPr>
          <w:t>https://www.mygov.scot/pvg-referrals/</w:t>
        </w:r>
      </w:hyperlink>
      <w:r w:rsidRPr="00D51ECB">
        <w:rPr>
          <w:rFonts w:asciiTheme="majorHAnsi" w:hAnsiTheme="majorHAnsi" w:cstheme="majorHAnsi"/>
          <w:color w:val="000000" w:themeColor="text1"/>
          <w:u w:val="single"/>
        </w:rPr>
        <w:t xml:space="preserve">.   </w:t>
      </w:r>
    </w:p>
    <w:p w14:paraId="2E2F223D" w14:textId="77777777" w:rsidR="00FA4EB6" w:rsidRPr="00D51ECB" w:rsidRDefault="00FA4EB6" w:rsidP="00FA4EB6">
      <w:pPr>
        <w:rPr>
          <w:rFonts w:asciiTheme="majorHAnsi" w:hAnsiTheme="majorHAnsi" w:cstheme="majorHAnsi"/>
          <w:color w:val="000000" w:themeColor="text1"/>
        </w:rPr>
      </w:pPr>
      <w:r w:rsidRPr="00D51ECB">
        <w:rPr>
          <w:rFonts w:asciiTheme="majorHAnsi" w:hAnsiTheme="majorHAnsi" w:cstheme="majorHAnsi"/>
          <w:bCs/>
          <w:color w:val="000000" w:themeColor="text1"/>
        </w:rPr>
        <w:t>17</w:t>
      </w:r>
      <w:r w:rsidRPr="00D51ECB">
        <w:rPr>
          <w:rFonts w:asciiTheme="majorHAnsi" w:hAnsiTheme="majorHAnsi" w:cstheme="majorHAnsi"/>
          <w:color w:val="000000" w:themeColor="text1"/>
        </w:rPr>
        <w:t xml:space="preserve">.   </w:t>
      </w:r>
      <w:r w:rsidRPr="00D51ECB">
        <w:rPr>
          <w:rFonts w:asciiTheme="majorHAnsi" w:hAnsiTheme="majorHAnsi" w:cstheme="majorHAnsi"/>
          <w:bCs/>
          <w:color w:val="000000" w:themeColor="text1"/>
        </w:rPr>
        <w:t>The Protection Unit or Customer Engagement Team at Disclosure Scotland are available to provide advice on whether a specific situation means a referral must be submitted to Disclosure Scotland.</w:t>
      </w:r>
      <w:r w:rsidRPr="00D51ECB">
        <w:rPr>
          <w:rFonts w:asciiTheme="majorHAnsi" w:hAnsiTheme="majorHAnsi" w:cstheme="majorHAnsi"/>
          <w:color w:val="000000" w:themeColor="text1"/>
        </w:rPr>
        <w:t xml:space="preserve">   </w:t>
      </w:r>
    </w:p>
    <w:p w14:paraId="3C95B6B0" w14:textId="61413AB3" w:rsidR="005E71B1" w:rsidRPr="00D51ECB" w:rsidRDefault="005E71B1" w:rsidP="00FA4EB6">
      <w:pPr>
        <w:rPr>
          <w:rFonts w:asciiTheme="majorHAnsi" w:hAnsiTheme="majorHAnsi" w:cstheme="majorHAnsi"/>
        </w:rPr>
      </w:pPr>
    </w:p>
    <w:sectPr w:rsidR="005E71B1" w:rsidRPr="00D51ECB" w:rsidSect="00975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7C3D" w14:textId="77777777" w:rsidR="008E2D26" w:rsidRDefault="008E2D26" w:rsidP="00A01C5D">
      <w:r>
        <w:separator/>
      </w:r>
    </w:p>
  </w:endnote>
  <w:endnote w:type="continuationSeparator" w:id="0">
    <w:p w14:paraId="7A3DC6AA" w14:textId="77777777" w:rsidR="008E2D26" w:rsidRDefault="008E2D26" w:rsidP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4AFB" w14:textId="77777777" w:rsidR="00A01C5D" w:rsidRDefault="00A0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B8B" w14:textId="527592A2" w:rsidR="00A01C5D" w:rsidRDefault="00A01C5D">
    <w:pPr>
      <w:pStyle w:val="Footer"/>
    </w:pPr>
    <w:r>
      <w:t xml:space="preserve">Scottish Charity - </w:t>
    </w:r>
    <w:r w:rsidRPr="00A01C5D">
      <w:rPr>
        <w:b/>
        <w:bCs/>
      </w:rPr>
      <w:t>SC017661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A32F" w14:textId="77777777" w:rsidR="00A01C5D" w:rsidRDefault="00A0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D3C7" w14:textId="77777777" w:rsidR="008E2D26" w:rsidRDefault="008E2D26" w:rsidP="00A01C5D">
      <w:r>
        <w:separator/>
      </w:r>
    </w:p>
  </w:footnote>
  <w:footnote w:type="continuationSeparator" w:id="0">
    <w:p w14:paraId="27A144D0" w14:textId="77777777" w:rsidR="008E2D26" w:rsidRDefault="008E2D26" w:rsidP="00A0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854" w14:textId="77777777" w:rsidR="00A01C5D" w:rsidRDefault="00A0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7397" w14:textId="77777777" w:rsidR="00A01C5D" w:rsidRDefault="00A01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DF1E" w14:textId="77777777" w:rsidR="00A01C5D" w:rsidRDefault="00A0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A3B"/>
    <w:multiLevelType w:val="hybridMultilevel"/>
    <w:tmpl w:val="D6EE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58F"/>
    <w:multiLevelType w:val="hybridMultilevel"/>
    <w:tmpl w:val="EF4A9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23A2"/>
    <w:multiLevelType w:val="hybridMultilevel"/>
    <w:tmpl w:val="77C8B406"/>
    <w:lvl w:ilvl="0" w:tplc="08090001">
      <w:start w:val="1"/>
      <w:numFmt w:val="bullet"/>
      <w:pStyle w:val="BillSec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BillSubSectio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BillSectionPar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424C"/>
    <w:multiLevelType w:val="hybridMultilevel"/>
    <w:tmpl w:val="1EFC1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B1"/>
    <w:rsid w:val="000D1488"/>
    <w:rsid w:val="004B3E8F"/>
    <w:rsid w:val="004C364D"/>
    <w:rsid w:val="00542E01"/>
    <w:rsid w:val="005E71B1"/>
    <w:rsid w:val="008E2D26"/>
    <w:rsid w:val="0090571B"/>
    <w:rsid w:val="00975BA9"/>
    <w:rsid w:val="00A01C5D"/>
    <w:rsid w:val="00A87925"/>
    <w:rsid w:val="00BC37D3"/>
    <w:rsid w:val="00BF636E"/>
    <w:rsid w:val="00D51ECB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04D4B"/>
  <w14:defaultImageDpi w14:val="300"/>
  <w15:docId w15:val="{8660216D-9CE6-EB4C-BD06-722E2F4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B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C5D"/>
  </w:style>
  <w:style w:type="paragraph" w:styleId="Footer">
    <w:name w:val="footer"/>
    <w:basedOn w:val="Normal"/>
    <w:link w:val="FooterChar"/>
    <w:uiPriority w:val="99"/>
    <w:unhideWhenUsed/>
    <w:rsid w:val="00A01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5D"/>
  </w:style>
  <w:style w:type="paragraph" w:customStyle="1" w:styleId="BillSection">
    <w:name w:val="BillSection"/>
    <w:next w:val="BillSubSection"/>
    <w:rsid w:val="00FA4EB6"/>
    <w:pPr>
      <w:keepNext/>
      <w:keepLines/>
      <w:numPr>
        <w:numId w:val="3"/>
      </w:numPr>
      <w:tabs>
        <w:tab w:val="num" w:pos="851"/>
      </w:tabs>
      <w:spacing w:after="120"/>
      <w:ind w:left="851"/>
      <w:jc w:val="both"/>
      <w:outlineLvl w:val="0"/>
    </w:pPr>
    <w:rPr>
      <w:rFonts w:ascii="Times New Roman" w:eastAsia="Times New Roman" w:hAnsi="Times New Roman" w:cs="Times New Roman"/>
      <w:b/>
      <w:sz w:val="23"/>
      <w:szCs w:val="20"/>
      <w:lang w:eastAsia="en-GB"/>
    </w:rPr>
  </w:style>
  <w:style w:type="paragraph" w:customStyle="1" w:styleId="BillSubSection">
    <w:name w:val="BillSubSection"/>
    <w:rsid w:val="00FA4EB6"/>
    <w:pPr>
      <w:keepLines/>
      <w:numPr>
        <w:ilvl w:val="1"/>
        <w:numId w:val="3"/>
      </w:numPr>
      <w:spacing w:after="120"/>
      <w:jc w:val="both"/>
      <w:outlineLvl w:val="1"/>
    </w:pPr>
    <w:rPr>
      <w:rFonts w:ascii="Times New Roman" w:eastAsia="Times New Roman" w:hAnsi="Times New Roman" w:cs="Times New Roman"/>
      <w:sz w:val="23"/>
      <w:szCs w:val="20"/>
      <w:lang w:eastAsia="en-GB"/>
    </w:rPr>
  </w:style>
  <w:style w:type="paragraph" w:customStyle="1" w:styleId="BillSectionPara">
    <w:name w:val="BillSectionPara"/>
    <w:rsid w:val="00FA4EB6"/>
    <w:pPr>
      <w:keepLines/>
      <w:numPr>
        <w:ilvl w:val="2"/>
        <w:numId w:val="3"/>
      </w:numPr>
      <w:spacing w:after="120"/>
      <w:jc w:val="both"/>
      <w:outlineLvl w:val="2"/>
    </w:pPr>
    <w:rPr>
      <w:rFonts w:ascii="Times New Roman" w:eastAsia="Times New Roman" w:hAnsi="Times New Roman" w:cs="Times New Roman"/>
      <w:sz w:val="23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A4E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orrespondence@disclosurescotland.gsi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ygov.scot/pvg-referr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isclosurescotland.gsi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Shiefra</dc:creator>
  <cp:keywords/>
  <dc:description/>
  <cp:lastModifiedBy>Microsoft Office User</cp:lastModifiedBy>
  <cp:revision>6</cp:revision>
  <dcterms:created xsi:type="dcterms:W3CDTF">2021-11-16T11:45:00Z</dcterms:created>
  <dcterms:modified xsi:type="dcterms:W3CDTF">2021-11-16T11:54:00Z</dcterms:modified>
</cp:coreProperties>
</file>